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5" w:firstLineChars="400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2</w:t>
      </w:r>
      <w:r>
        <w:rPr>
          <w:rFonts w:ascii="黑体" w:hAnsi="宋体" w:eastAsia="黑体"/>
          <w:b/>
          <w:bCs/>
          <w:sz w:val="32"/>
          <w:szCs w:val="32"/>
        </w:rPr>
        <w:t>0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2"/>
          <w:szCs w:val="32"/>
        </w:rPr>
        <w:t>学年第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宋体" w:eastAsia="黑体"/>
          <w:b/>
          <w:bCs/>
          <w:sz w:val="32"/>
          <w:szCs w:val="32"/>
        </w:rPr>
        <w:t>学期红星小学教导处工作计划</w:t>
      </w:r>
    </w:p>
    <w:p>
      <w:pPr>
        <w:spacing w:line="360" w:lineRule="auto"/>
        <w:ind w:firstLine="2570" w:firstLineChars="800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（2</w:t>
      </w:r>
      <w:r>
        <w:rPr>
          <w:rFonts w:ascii="黑体" w:hAnsi="宋体" w:eastAsia="黑体"/>
          <w:b/>
          <w:bCs/>
          <w:sz w:val="32"/>
          <w:szCs w:val="32"/>
        </w:rPr>
        <w:t>0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22</w:t>
      </w:r>
      <w:r>
        <w:rPr>
          <w:rFonts w:ascii="黑体" w:hAnsi="宋体" w:eastAsia="黑体"/>
          <w:b/>
          <w:bCs/>
          <w:sz w:val="32"/>
          <w:szCs w:val="32"/>
        </w:rPr>
        <w:t>.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b/>
          <w:bCs/>
          <w:sz w:val="32"/>
          <w:szCs w:val="32"/>
        </w:rPr>
        <w:t>-</w:t>
      </w:r>
      <w:r>
        <w:rPr>
          <w:rFonts w:ascii="黑体" w:hAnsi="宋体" w:eastAsia="黑体"/>
          <w:b/>
          <w:bCs/>
          <w:sz w:val="32"/>
          <w:szCs w:val="32"/>
        </w:rPr>
        <w:t>202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2</w:t>
      </w:r>
      <w:r>
        <w:rPr>
          <w:rFonts w:ascii="黑体" w:hAnsi="宋体" w:eastAsia="黑体"/>
          <w:b/>
          <w:bCs/>
          <w:sz w:val="32"/>
          <w:szCs w:val="32"/>
        </w:rPr>
        <w:t>.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 w:val="32"/>
          <w:szCs w:val="32"/>
        </w:rPr>
        <w:t>）</w:t>
      </w:r>
    </w:p>
    <w:p>
      <w:pPr>
        <w:spacing w:line="360" w:lineRule="auto"/>
        <w:ind w:firstLine="2570" w:firstLineChars="800"/>
        <w:rPr>
          <w:rFonts w:hint="eastAsia" w:ascii="黑体" w:hAnsi="宋体" w:eastAsia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华文仿宋" w:hAnsi="华文仿宋" w:eastAsia="华文仿宋" w:cs="华文仿宋"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学习贯彻习近平总书记全国教育大会和上海讲话精神，根据中共中央、国务院、教育部、市教委近年颁布的系列文件精神，依据《上海市教育委员会关于印发上海市中小学2021学年课程计划及其说明的通知》，《上海市教育改革发展“十四五”规划》，《宝山区教育改革发展“十四五”规划》和《宝山区教育学院“十四五”规划》的相关要求，聚焦“五育融合”育人体系建设，聚焦“十四五”重点任务、重大项目，深化教育评价改革和教育综合改革，全面推进教育数字化转型，扎实推进“双减”与“五项管理”工作。结合学校中心工作，把准课改方向，坚守教学效能，强化教育人才支撑，提高教育教学质量。</w:t>
      </w:r>
    </w:p>
    <w:p>
      <w:pPr>
        <w:spacing w:line="440" w:lineRule="exact"/>
        <w:ind w:firstLine="420" w:firstLineChars="200"/>
        <w:rPr>
          <w:rFonts w:hint="eastAsia" w:ascii="华文仿宋" w:hAnsi="华文仿宋" w:eastAsia="华文仿宋" w:cs="华文仿宋"/>
          <w:bCs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二、工作要点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1.落实双减政策，规范作业管理       2.新型教育技术，赋能教研转型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3.关注青年教师，助力成长提升       4.实施主题教研，提升教研质量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5.完善校本课程，形成红星品牌       6.重视流程管理，提升教学实效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华文仿宋" w:hAnsi="华文仿宋" w:eastAsia="华文仿宋" w:cs="华文仿宋"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三、具体内容</w:t>
      </w:r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0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落实双减政策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规范作业管理</w:t>
            </w:r>
          </w:p>
        </w:tc>
        <w:tc>
          <w:tcPr>
            <w:tcW w:w="7718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  <w:t>结合“双减”工程、五项管理等工作精神，转变传统办学理念，着眼于学生长远发展。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1.健全作业管理制度，建立作业校内公示制度，分年级公示作业内容、班主任协调作业量。教导处每月开展一次作业教学研究活动，（包括作业设计、作业质量与数量的检查），引领和指导学校教师规范作业教学行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2.基于课程标准，进行单元整体作业设计。提高作业设计的质量，鼓励教师通过选编、改编、自主创编等方式设计高质量的作业。学校自编习材的完成（数学3-5年级，语文3-5年级，英语3-5年级）鼓励布置分层作业、弹性作业、个性化作业，科学合理布置，引导教师对开放性、实践性、拓展性以及长周期作业的设计研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3.教研组内认真学习“上海市学科高质量校本作业体系设计与实施指南”，有选择的使用校本练习与市、区推荐的作业设计。指向高阶思维能力发展的校本作业体系研究。语数英各有5所学校在研发试题，6月份会提供给面上的学校，为下学期的市四年级绿标考试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0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“新型教育技术”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赋能教研方式转型</w:t>
            </w:r>
          </w:p>
        </w:tc>
        <w:tc>
          <w:tcPr>
            <w:tcW w:w="7718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  <w:t>聚焦“新型教育技术”，赋能教研方式数字化转型。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1.依托“数字化教学项目”，探索教研数字化平台的建设与运用。尽量与平时的学科教研活动结合，与青年教师的培养相结合。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2.在随堂课、研究课、带教课、比赛课基础上，推选优秀教师积极参加区、学区的“教学展示活动”，赋能教研方式的数字化转变。鼓励教师聚焦“五育融合”的思想进行教学实践研究，关注“双减”大背景下教师教学方式及学生学习方式的转变研究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3.同侪教研模式的实践与探索。教师自主研修和教育教学实践深度融合，积极组团与跟进，注重教研的深度、效度和广度。积极用好备课助手、教学助手、作业辅导助手。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0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关注青年教师，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助力成长提升</w:t>
            </w:r>
          </w:p>
        </w:tc>
        <w:tc>
          <w:tcPr>
            <w:tcW w:w="7718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  <w:t>青年教师是一所学校的希望所在。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1.加强备课组、教研组工作。充分发挥各教研组和备课组职能，通过开展“共享式的集体备课”、“探究式的课堂实践”和“专题式的学习讨论”推动教研活动的有序化、规范化，也助推青年教师的快速成长。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2.加强5年内青年教师的培养力度，各学科积极挖掘组内青年教师的潜力，搭建学科平台，推选优秀老师到更高层面的学习。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拓展青年专业团队自主发展，一方面要求原有6个小团队确立目标自动化运转，另一方面引进校外资源再建高数、低英二个学科团队，助力优秀青年教师的专业成长。学期结束进行“拜师学艺经验分享会”。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教科研结合，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青年教师把研究渗透到教研中，形成实实在在的教研、实实在在的科研；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可以组成青年教师联学会或者青年教师沙龙，互相交流，互相学习，互相进步。也可以采用请进来走出去的方式，拓展视野，增长见识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0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实施主题教研，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提升教研质量</w:t>
            </w:r>
          </w:p>
        </w:tc>
        <w:tc>
          <w:tcPr>
            <w:tcW w:w="7718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  <w:t>积极改革教研形式，调动老师参与教研的积极性。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1.消减大教研次数，采用每次小教研组展示方式，选择教研主题，进行专题听评课，总结研究得失。强调小教研组织的自主性，放手小教研活动形式和内容，小教研为大教研提供研讨案例。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具体的教研主题有课堂观察、同课异构、片段教学、课件制作、专题论坛、说课等等。根据不同的学科特点，不同的阶段。有执行计划、有总结反思，主题要明确，活动不搞形式、不走过场，参与的积极性要高、活动有成效。</w:t>
            </w:r>
          </w:p>
          <w:p>
            <w:pPr>
              <w:widowControl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加强教研组建设。通过行政深入教研组工作制度，在引领、指导并规范教研组活动的过程中，帮助发现并及时调控教学、教研中的问题，探索并提炼新形势下符合学校实际的有效的教研经验，为教研组建设创设条件、搭建平台、同时对教研组及学科教师进行相应的评价。邀请专家参与教研组的活动，指导并改进教研活动，提高教研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05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完善</w:t>
            </w:r>
            <w:r>
              <w:rPr>
                <w:rFonts w:hint="eastAsia" w:eastAsia="宋体" w:cs="宋体" w:asciiTheme="minorEastAsia" w:hAnsiTheme="minorEastAsia"/>
                <w:kern w:val="0"/>
                <w:sz w:val="24"/>
              </w:rPr>
              <w:t>校本课程</w:t>
            </w:r>
            <w:r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  <w:t>，</w:t>
            </w:r>
          </w:p>
          <w:p>
            <w:pPr>
              <w:widowControl/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形成红星品牌</w:t>
            </w:r>
          </w:p>
        </w:tc>
        <w:tc>
          <w:tcPr>
            <w:tcW w:w="7718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kern w:val="0"/>
                <w:sz w:val="24"/>
                <w:szCs w:val="24"/>
                <w:lang w:val="en-US" w:eastAsia="zh-CN" w:bidi="ar-SA"/>
              </w:rPr>
              <w:t>构建并完善学校校本课程，根据校情和学情开发和整合具有红星特点的校本课程教材、不断创新，形成特色品牌。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1.严格执行《上海市2021年中小学课程计划》，推进拓展型课程的研究与实施。全校开设33个兴趣社团，以及外聘老师的兴趣课程。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2.思考校本课程全面创建，设定“五星”课程相应板块，本着成熟一门编制一门的思路，重点扶持《生活小能手》、《五剧荟萃》、《手球游戏》、《小学生棒垒球教学》等校级社团课程。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华文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3.充分调动教师主观能动性，结合兴趣活动和课后看护拓展活动，鼓励教师自主开发校本课程，并为教师编制课程提供助力。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054" w:type="dxa"/>
          </w:tcPr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eastAsia="zh-CN"/>
              </w:rPr>
              <w:t>重视流程管理，</w:t>
            </w:r>
          </w:p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规范质量监控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1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cs="宋体" w:asciiTheme="minorEastAsia" w:hAnsiTheme="minorEastAsia"/>
                <w:color w:val="C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C00000"/>
                <w:kern w:val="0"/>
                <w:sz w:val="24"/>
              </w:rPr>
              <w:t>精细化教学常规从细化教学常规要求入手</w:t>
            </w:r>
            <w:r>
              <w:rPr>
                <w:rFonts w:hint="eastAsia" w:cs="宋体" w:asciiTheme="minorEastAsia" w:hAnsiTheme="minorEastAsia"/>
                <w:color w:val="C00000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对“备课、上课、练习、辅导、评价”，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明确、细致的要求，各学科结合学科特点，再加以调整；每学期伊始，学科教研组加强学习，在日常工作中加强对照。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2.规范质量监控。做好阶段性学习质量的监测，对测试结果要客观、科学的分析，以便集思广益、改进教学。关注每个细节，科学评价，对每个学生负责，要花大力研究学困生的学习情况，选择和构建适合他们的学习方式，努力使其在原有基础上有所进步。</w:t>
            </w:r>
          </w:p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lang w:val="en-US" w:eastAsia="zh-CN"/>
              </w:rPr>
              <w:t>3.根据上海市教委委员会通知精神，小学生学业评价严格实行等第制。小学阶段不进行期中考试或考查。小学一二年级可进行期末考查。三四五年级期末考试仅限语文、数学两门学科，其他学科只进行考查。第19周到第20周，小学一、二年级进行语文、数学、英语的期末考查，学校自行组织，考查形式可以灵活多样。一年级不进行书面考查（期末评价，学校借助第三方，对一年级学生进行语数英的IPAD调研）小学三四五年级期末考试或考查暂定时间为2022年6月22日周三：上午数学、英语，下午语文。毕业考试是6月23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spacing w:line="440" w:lineRule="exact"/>
        <w:rPr>
          <w:rFonts w:hint="default" w:ascii="华文仿宋" w:hAnsi="华文仿宋" w:eastAsia="华文仿宋" w:cs="华文仿宋"/>
          <w:bCs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四、其他工作</w:t>
      </w:r>
      <w:bookmarkStart w:id="0" w:name="_GoBack"/>
      <w:bookmarkEnd w:id="0"/>
    </w:p>
    <w:p>
      <w:pPr>
        <w:pStyle w:val="7"/>
        <w:spacing w:line="360" w:lineRule="auto"/>
        <w:ind w:firstLine="0" w:firstLineChars="0"/>
        <w:jc w:val="left"/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1. 招生工作。按照上级要求，关注时间节点，认真做好2021年新生招生工作。包括校园开放日活动、验证核对信息等工作。</w:t>
      </w:r>
    </w:p>
    <w:p>
      <w:pPr>
        <w:pStyle w:val="7"/>
        <w:numPr>
          <w:ilvl w:val="0"/>
          <w:numId w:val="1"/>
        </w:numPr>
        <w:spacing w:line="360" w:lineRule="auto"/>
        <w:ind w:firstLine="0" w:firstLineChars="0"/>
        <w:jc w:val="left"/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毕业班工作。毕业班教学工作研究，稳定和提升毕业班教学质量。教导处的学科分管找准突破口，定期交流与反馈。做好毕业生的信息校对、中学调配及其他一切事务工作。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信息技术教育。加强校园网的建设，以“家校互动”为重要载体，促进家校间信息互动、共享。重视信息技术与学科教学的有效整合。加强数字化教学的研究与展示活动。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语言文字等工作。进一步做好语言文字、学籍管理、特殊教育、心理健康教育等工作的规范管理，不断提高工作的质量和水平；进一步做好各类资料的积累工作。在认真做好管理工作的同时，做好各类教育教学资料积累整理工作，为学校发展提供科学依据。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图书馆工作。保持区五星图书馆的星级称号，继续为全校师生提供优质的服务，进行文献资料的提供及读书课题的实践与研究，培养更多的读书达人。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="61" w:leftChars="29" w:firstLine="0" w:firstLineChars="0"/>
        <w:jc w:val="left"/>
        <w:rPr>
          <w:rFonts w:hint="eastAsia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6.组织各项学科活动。结合“四节三月”、阳光体育、大课间和快乐活动日、社团活动等方面，满足学生个人爱好和需求，为每一个学生个性发展的优化和提高提供平台。</w:t>
      </w:r>
    </w:p>
    <w:p>
      <w:pPr>
        <w:widowControl/>
        <w:numPr>
          <w:ilvl w:val="0"/>
          <w:numId w:val="0"/>
        </w:numPr>
        <w:spacing w:line="420" w:lineRule="exact"/>
        <w:ind w:leftChars="0" w:firstLine="5880" w:firstLineChars="2800"/>
        <w:jc w:val="left"/>
        <w:rPr>
          <w:rFonts w:hint="eastAsia" w:ascii="仿宋_GB2312" w:hAnsi="宋体" w:eastAsia="仿宋_GB2312" w:cs="宋体"/>
          <w:kern w:val="0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Chars="0" w:firstLine="5520" w:firstLineChars="2300"/>
        <w:jc w:val="left"/>
        <w:rPr>
          <w:rFonts w:hint="default" w:eastAsia="宋体" w:cs="宋体" w:asciiTheme="minorEastAsia" w:hAnsi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宝山区红星小学  教导处</w:t>
      </w:r>
    </w:p>
    <w:p>
      <w:pPr>
        <w:pStyle w:val="7"/>
        <w:numPr>
          <w:ilvl w:val="0"/>
          <w:numId w:val="0"/>
        </w:numPr>
        <w:spacing w:line="360" w:lineRule="auto"/>
        <w:ind w:leftChars="0" w:firstLine="6720" w:firstLineChars="2800"/>
        <w:jc w:val="left"/>
        <w:rPr>
          <w:rFonts w:hint="default" w:eastAsia="宋体" w:cs="宋体" w:asciiTheme="minorEastAsia" w:hAnsi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  <w:lang w:val="en-US" w:eastAsia="zh-CN" w:bidi="ar-SA"/>
        </w:rPr>
        <w:t>2022.2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709B7"/>
    <w:multiLevelType w:val="singleLevel"/>
    <w:tmpl w:val="5AD709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5027D"/>
    <w:rsid w:val="00C6308C"/>
    <w:rsid w:val="01521166"/>
    <w:rsid w:val="016802D0"/>
    <w:rsid w:val="01CF4C12"/>
    <w:rsid w:val="02847989"/>
    <w:rsid w:val="02894BDE"/>
    <w:rsid w:val="03BF7CE8"/>
    <w:rsid w:val="03E70B57"/>
    <w:rsid w:val="045D1114"/>
    <w:rsid w:val="05900E4F"/>
    <w:rsid w:val="068926C3"/>
    <w:rsid w:val="07800B1C"/>
    <w:rsid w:val="07897AC3"/>
    <w:rsid w:val="08172EF0"/>
    <w:rsid w:val="0846445C"/>
    <w:rsid w:val="0A283ED3"/>
    <w:rsid w:val="0A6118A8"/>
    <w:rsid w:val="0B9C05BC"/>
    <w:rsid w:val="0BBD14AF"/>
    <w:rsid w:val="0C0E26B7"/>
    <w:rsid w:val="0C2573D5"/>
    <w:rsid w:val="0D0E0483"/>
    <w:rsid w:val="0D134BE9"/>
    <w:rsid w:val="0D8B1959"/>
    <w:rsid w:val="0EEC4A8E"/>
    <w:rsid w:val="108F1620"/>
    <w:rsid w:val="1261555C"/>
    <w:rsid w:val="12AE6E74"/>
    <w:rsid w:val="12BE1A38"/>
    <w:rsid w:val="13942FF2"/>
    <w:rsid w:val="13B1289B"/>
    <w:rsid w:val="13B5059A"/>
    <w:rsid w:val="15CC005A"/>
    <w:rsid w:val="163B2615"/>
    <w:rsid w:val="167427AE"/>
    <w:rsid w:val="1692030C"/>
    <w:rsid w:val="16AA0052"/>
    <w:rsid w:val="16CE1D07"/>
    <w:rsid w:val="16D6064A"/>
    <w:rsid w:val="176A019A"/>
    <w:rsid w:val="178F7061"/>
    <w:rsid w:val="179D539B"/>
    <w:rsid w:val="18420206"/>
    <w:rsid w:val="18644328"/>
    <w:rsid w:val="19784859"/>
    <w:rsid w:val="19FC42B4"/>
    <w:rsid w:val="1A9D74E9"/>
    <w:rsid w:val="1ABA3966"/>
    <w:rsid w:val="1B6E3502"/>
    <w:rsid w:val="1BA50D80"/>
    <w:rsid w:val="1DBE0498"/>
    <w:rsid w:val="1E026ABD"/>
    <w:rsid w:val="1E617A35"/>
    <w:rsid w:val="1ED938BF"/>
    <w:rsid w:val="1F5E5F75"/>
    <w:rsid w:val="1FB10622"/>
    <w:rsid w:val="20A7210F"/>
    <w:rsid w:val="20B27C51"/>
    <w:rsid w:val="20E90D4C"/>
    <w:rsid w:val="21061C70"/>
    <w:rsid w:val="21225CC7"/>
    <w:rsid w:val="21720A25"/>
    <w:rsid w:val="21753220"/>
    <w:rsid w:val="21C5721D"/>
    <w:rsid w:val="21FB12F3"/>
    <w:rsid w:val="22B95F31"/>
    <w:rsid w:val="22F8658D"/>
    <w:rsid w:val="23064D26"/>
    <w:rsid w:val="23562A5D"/>
    <w:rsid w:val="23B24A20"/>
    <w:rsid w:val="23CA38D9"/>
    <w:rsid w:val="23E830A0"/>
    <w:rsid w:val="24144D59"/>
    <w:rsid w:val="24355F12"/>
    <w:rsid w:val="245B6F27"/>
    <w:rsid w:val="24B76FC4"/>
    <w:rsid w:val="24CE0338"/>
    <w:rsid w:val="250B4EBB"/>
    <w:rsid w:val="25742ABB"/>
    <w:rsid w:val="25DF3E1C"/>
    <w:rsid w:val="26876351"/>
    <w:rsid w:val="26B311DA"/>
    <w:rsid w:val="26E67065"/>
    <w:rsid w:val="26EE75F6"/>
    <w:rsid w:val="272A153E"/>
    <w:rsid w:val="273A3503"/>
    <w:rsid w:val="274E3098"/>
    <w:rsid w:val="27B37A52"/>
    <w:rsid w:val="27E74C8B"/>
    <w:rsid w:val="287C161C"/>
    <w:rsid w:val="288B5C5B"/>
    <w:rsid w:val="29620C8C"/>
    <w:rsid w:val="299F3EF7"/>
    <w:rsid w:val="2A5E169B"/>
    <w:rsid w:val="2AB24A53"/>
    <w:rsid w:val="2ACC5E28"/>
    <w:rsid w:val="2AD75D08"/>
    <w:rsid w:val="2AE03173"/>
    <w:rsid w:val="2B0054B6"/>
    <w:rsid w:val="2B830BAB"/>
    <w:rsid w:val="2BDE2ED1"/>
    <w:rsid w:val="2BE24B58"/>
    <w:rsid w:val="2C4121BB"/>
    <w:rsid w:val="2CB839A6"/>
    <w:rsid w:val="2CC5027D"/>
    <w:rsid w:val="2DD361C2"/>
    <w:rsid w:val="2DE405D7"/>
    <w:rsid w:val="2E0C7407"/>
    <w:rsid w:val="2E10244A"/>
    <w:rsid w:val="2E422B04"/>
    <w:rsid w:val="2E8C0170"/>
    <w:rsid w:val="2F211B86"/>
    <w:rsid w:val="2F8903BF"/>
    <w:rsid w:val="304A7F58"/>
    <w:rsid w:val="305F2662"/>
    <w:rsid w:val="30764C77"/>
    <w:rsid w:val="323B2891"/>
    <w:rsid w:val="33972498"/>
    <w:rsid w:val="33CD3272"/>
    <w:rsid w:val="342B1A62"/>
    <w:rsid w:val="342B4BC1"/>
    <w:rsid w:val="34427470"/>
    <w:rsid w:val="350F132A"/>
    <w:rsid w:val="351F78C1"/>
    <w:rsid w:val="35745A13"/>
    <w:rsid w:val="358D4A67"/>
    <w:rsid w:val="363934B9"/>
    <w:rsid w:val="36D52D88"/>
    <w:rsid w:val="36DD3550"/>
    <w:rsid w:val="37402C76"/>
    <w:rsid w:val="37457DEF"/>
    <w:rsid w:val="3800688B"/>
    <w:rsid w:val="3808277E"/>
    <w:rsid w:val="394E68D1"/>
    <w:rsid w:val="39702BC8"/>
    <w:rsid w:val="39DE3E9E"/>
    <w:rsid w:val="3A5E29FA"/>
    <w:rsid w:val="3AA67BC3"/>
    <w:rsid w:val="3ADC381A"/>
    <w:rsid w:val="3B9E3B2F"/>
    <w:rsid w:val="3C813E70"/>
    <w:rsid w:val="3CB82E16"/>
    <w:rsid w:val="3CC85DB9"/>
    <w:rsid w:val="3D05784D"/>
    <w:rsid w:val="3D8E112E"/>
    <w:rsid w:val="3DD11700"/>
    <w:rsid w:val="3E2236C3"/>
    <w:rsid w:val="3EE450CC"/>
    <w:rsid w:val="3F9A4F36"/>
    <w:rsid w:val="3FC557D9"/>
    <w:rsid w:val="408D799A"/>
    <w:rsid w:val="40C5577F"/>
    <w:rsid w:val="41474969"/>
    <w:rsid w:val="41F56BD8"/>
    <w:rsid w:val="420B2C5F"/>
    <w:rsid w:val="42270C3B"/>
    <w:rsid w:val="429B43EB"/>
    <w:rsid w:val="42F412D5"/>
    <w:rsid w:val="43737BBC"/>
    <w:rsid w:val="43B63F24"/>
    <w:rsid w:val="44027E93"/>
    <w:rsid w:val="449B6CB2"/>
    <w:rsid w:val="456442B5"/>
    <w:rsid w:val="45706791"/>
    <w:rsid w:val="45AD5A79"/>
    <w:rsid w:val="46475344"/>
    <w:rsid w:val="46BB5E4D"/>
    <w:rsid w:val="486C26CD"/>
    <w:rsid w:val="489C5924"/>
    <w:rsid w:val="498533F4"/>
    <w:rsid w:val="4A0B4F80"/>
    <w:rsid w:val="4AC676F1"/>
    <w:rsid w:val="4AF34A66"/>
    <w:rsid w:val="4B7A28D8"/>
    <w:rsid w:val="4BDC1ED1"/>
    <w:rsid w:val="4C8670D9"/>
    <w:rsid w:val="4C976E59"/>
    <w:rsid w:val="4CBF6C9E"/>
    <w:rsid w:val="4CF30336"/>
    <w:rsid w:val="4DDD181F"/>
    <w:rsid w:val="4E03408C"/>
    <w:rsid w:val="4F5302C4"/>
    <w:rsid w:val="4FAB43FF"/>
    <w:rsid w:val="4FB911F1"/>
    <w:rsid w:val="4FDF1C03"/>
    <w:rsid w:val="5042711E"/>
    <w:rsid w:val="504E3F77"/>
    <w:rsid w:val="50CE4FFE"/>
    <w:rsid w:val="5107697B"/>
    <w:rsid w:val="510D474B"/>
    <w:rsid w:val="512F1E25"/>
    <w:rsid w:val="5245699D"/>
    <w:rsid w:val="52B55364"/>
    <w:rsid w:val="52E74499"/>
    <w:rsid w:val="52F16EDF"/>
    <w:rsid w:val="53AB2E8A"/>
    <w:rsid w:val="53D61053"/>
    <w:rsid w:val="53F020A0"/>
    <w:rsid w:val="549855EF"/>
    <w:rsid w:val="54D57FC2"/>
    <w:rsid w:val="55966A00"/>
    <w:rsid w:val="55B64EB9"/>
    <w:rsid w:val="55C958F9"/>
    <w:rsid w:val="56891423"/>
    <w:rsid w:val="5698139B"/>
    <w:rsid w:val="572F6474"/>
    <w:rsid w:val="57AA1051"/>
    <w:rsid w:val="57AD05E0"/>
    <w:rsid w:val="57BD29D7"/>
    <w:rsid w:val="57BE088C"/>
    <w:rsid w:val="58607231"/>
    <w:rsid w:val="58C500FB"/>
    <w:rsid w:val="58D803A9"/>
    <w:rsid w:val="59E65199"/>
    <w:rsid w:val="5A9D3C5B"/>
    <w:rsid w:val="5C9A59A7"/>
    <w:rsid w:val="5D0172F5"/>
    <w:rsid w:val="5D3D2002"/>
    <w:rsid w:val="5D6D5008"/>
    <w:rsid w:val="5DB949DF"/>
    <w:rsid w:val="5EBE147E"/>
    <w:rsid w:val="5F2F578B"/>
    <w:rsid w:val="5F3F6C61"/>
    <w:rsid w:val="608C4B22"/>
    <w:rsid w:val="60912F00"/>
    <w:rsid w:val="61367833"/>
    <w:rsid w:val="6183303E"/>
    <w:rsid w:val="61890278"/>
    <w:rsid w:val="61F02D0A"/>
    <w:rsid w:val="62D50AD4"/>
    <w:rsid w:val="635A12B4"/>
    <w:rsid w:val="637349EC"/>
    <w:rsid w:val="63B67D48"/>
    <w:rsid w:val="649D421C"/>
    <w:rsid w:val="65096D9E"/>
    <w:rsid w:val="669414B7"/>
    <w:rsid w:val="66C72173"/>
    <w:rsid w:val="66F81F2A"/>
    <w:rsid w:val="675336B9"/>
    <w:rsid w:val="675D123C"/>
    <w:rsid w:val="678D611B"/>
    <w:rsid w:val="67941B4F"/>
    <w:rsid w:val="687F3577"/>
    <w:rsid w:val="68F92097"/>
    <w:rsid w:val="68FF1ABD"/>
    <w:rsid w:val="69CB27A7"/>
    <w:rsid w:val="69E45C98"/>
    <w:rsid w:val="69FA0677"/>
    <w:rsid w:val="69FC0C7D"/>
    <w:rsid w:val="6B2F6A9A"/>
    <w:rsid w:val="6C3D6C22"/>
    <w:rsid w:val="6C515624"/>
    <w:rsid w:val="6C89388E"/>
    <w:rsid w:val="6CA87FA1"/>
    <w:rsid w:val="6CDF01FB"/>
    <w:rsid w:val="6D011CF4"/>
    <w:rsid w:val="6D3A2689"/>
    <w:rsid w:val="6E3A456E"/>
    <w:rsid w:val="6E5C138F"/>
    <w:rsid w:val="6E8521D9"/>
    <w:rsid w:val="6E9C6814"/>
    <w:rsid w:val="6F0E43C9"/>
    <w:rsid w:val="6F9D176F"/>
    <w:rsid w:val="711D6523"/>
    <w:rsid w:val="71630D75"/>
    <w:rsid w:val="72320AEF"/>
    <w:rsid w:val="724B0938"/>
    <w:rsid w:val="73404BE1"/>
    <w:rsid w:val="73704955"/>
    <w:rsid w:val="73C02DFC"/>
    <w:rsid w:val="74386F16"/>
    <w:rsid w:val="747D4FEF"/>
    <w:rsid w:val="74851BEB"/>
    <w:rsid w:val="74A440FD"/>
    <w:rsid w:val="74A64AD6"/>
    <w:rsid w:val="750B6B77"/>
    <w:rsid w:val="75377F70"/>
    <w:rsid w:val="75653F40"/>
    <w:rsid w:val="75756DF5"/>
    <w:rsid w:val="766A7618"/>
    <w:rsid w:val="774573D4"/>
    <w:rsid w:val="774E4FEB"/>
    <w:rsid w:val="786067D8"/>
    <w:rsid w:val="78AF71F5"/>
    <w:rsid w:val="78FF0DA4"/>
    <w:rsid w:val="792B779F"/>
    <w:rsid w:val="79E55542"/>
    <w:rsid w:val="7AC34110"/>
    <w:rsid w:val="7ADB4B0E"/>
    <w:rsid w:val="7B6E2EB9"/>
    <w:rsid w:val="7BB60CAF"/>
    <w:rsid w:val="7C9D7A83"/>
    <w:rsid w:val="7D4954C1"/>
    <w:rsid w:val="7D5E0064"/>
    <w:rsid w:val="7E907F88"/>
    <w:rsid w:val="7F3D2627"/>
    <w:rsid w:val="7F6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楷体简体"/>
      <w:spacing w:val="36"/>
      <w:kern w:val="0"/>
      <w:sz w:val="36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2021-02-24T05:08:00Z</dcterms:created>
  <dc:creator>Administrator</dc:creator>
  <cp:lastModifiedBy>lenovo</cp:lastModifiedBy>
  <cp:lastPrinted>2021-03-08T02:53:00Z</cp:lastPrinted>
  <dcterms:modified xsi:type="dcterms:W3CDTF">2022-03-10T05:07:23Z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4D791A039ABD4D4CB174F5CBD41616E5</vt:lpwstr>
  </property>
</Properties>
</file>